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6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6"/>
      </w:tblGrid>
      <w:tr w:rsidR="00B27459" w:rsidTr="00F32D6A">
        <w:tc>
          <w:tcPr>
            <w:tcW w:w="10996" w:type="dxa"/>
          </w:tcPr>
          <w:tbl>
            <w:tblPr>
              <w:tblW w:w="1063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55"/>
              <w:gridCol w:w="2977"/>
            </w:tblGrid>
            <w:tr w:rsidR="00B27459" w:rsidTr="00F32D6A">
              <w:tc>
                <w:tcPr>
                  <w:tcW w:w="7655" w:type="dxa"/>
                </w:tcPr>
                <w:p w:rsidR="00B27459" w:rsidRDefault="00B27459" w:rsidP="00F32D6A">
                  <w:pPr>
                    <w:pStyle w:val="Kopfzeile"/>
                    <w:spacing w:line="276" w:lineRule="auto"/>
                    <w:rPr>
                      <w:rFonts w:ascii="Tahoma" w:hAnsi="Tahoma" w:cs="Tahoma"/>
                      <w:color w:val="808080"/>
                    </w:rPr>
                  </w:pPr>
                </w:p>
                <w:p w:rsidR="00B27459" w:rsidRDefault="00B27459" w:rsidP="00F32D6A">
                  <w:pPr>
                    <w:pStyle w:val="Kopfzeile"/>
                    <w:spacing w:line="276" w:lineRule="auto"/>
                    <w:rPr>
                      <w:rFonts w:ascii="Tahoma" w:hAnsi="Tahoma" w:cs="Tahoma"/>
                      <w:color w:val="808080"/>
                      <w:sz w:val="64"/>
                    </w:rPr>
                  </w:pPr>
                  <w:r>
                    <w:rPr>
                      <w:rFonts w:ascii="Tahoma" w:hAnsi="Tahoma" w:cs="Tahoma"/>
                      <w:color w:val="808080"/>
                      <w:sz w:val="72"/>
                    </w:rPr>
                    <w:t>Presseinformation</w:t>
                  </w:r>
                </w:p>
              </w:tc>
              <w:tc>
                <w:tcPr>
                  <w:tcW w:w="2977" w:type="dxa"/>
                </w:tcPr>
                <w:p w:rsidR="00B27459" w:rsidRDefault="00B27459" w:rsidP="00F32D6A">
                  <w:pPr>
                    <w:pStyle w:val="Kopfzeile"/>
                    <w:spacing w:line="276" w:lineRule="auto"/>
                  </w:pPr>
                  <w:r w:rsidRPr="007B2696">
                    <w:rPr>
                      <w:noProof/>
                    </w:rPr>
                    <w:drawing>
                      <wp:inline distT="0" distB="0" distL="0" distR="0">
                        <wp:extent cx="1676400" cy="800100"/>
                        <wp:effectExtent l="0" t="0" r="0" b="0"/>
                        <wp:docPr id="4" name="Grafik 4" descr="LogoDAV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 descr="LogoDAV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27459" w:rsidRDefault="00B27459" w:rsidP="00F32D6A">
            <w:pPr>
              <w:pStyle w:val="Kopfzeile"/>
              <w:spacing w:line="276" w:lineRule="auto"/>
            </w:pPr>
          </w:p>
        </w:tc>
      </w:tr>
    </w:tbl>
    <w:p w:rsidR="00B27459" w:rsidRPr="000A0C45" w:rsidRDefault="00B27459" w:rsidP="00B27459">
      <w:pPr>
        <w:suppressLineNumbers/>
        <w:spacing w:line="276" w:lineRule="auto"/>
        <w:ind w:right="486"/>
        <w:rPr>
          <w:rFonts w:ascii="Tahoma" w:hAnsi="Tahoma" w:cs="Tahoma"/>
        </w:rPr>
      </w:pPr>
    </w:p>
    <w:p w:rsidR="00B27459" w:rsidRDefault="001E7C56" w:rsidP="00B27459">
      <w:pPr>
        <w:rPr>
          <w:rFonts w:ascii="Tahoma" w:hAnsi="Tahoma" w:cs="Tahoma"/>
        </w:rPr>
      </w:pPr>
      <w:r>
        <w:rPr>
          <w:rFonts w:ascii="Tahoma" w:hAnsi="Tahoma" w:cs="Tahoma"/>
        </w:rPr>
        <w:t>20</w:t>
      </w:r>
      <w:r w:rsidR="00B27459" w:rsidRPr="009A146E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August 2019</w:t>
      </w:r>
    </w:p>
    <w:p w:rsidR="00B412EA" w:rsidRPr="001E7C56" w:rsidRDefault="00B412EA" w:rsidP="001E7C56">
      <w:pPr>
        <w:rPr>
          <w:rFonts w:ascii="Tahoma" w:eastAsia="Times New Roman" w:hAnsi="Tahoma" w:cs="Tahoma"/>
          <w:u w:val="single"/>
          <w:lang w:eastAsia="de-DE"/>
        </w:rPr>
      </w:pPr>
      <w:r w:rsidRPr="00B412EA">
        <w:rPr>
          <w:rFonts w:ascii="Tahoma" w:eastAsia="Times New Roman" w:hAnsi="Tahoma" w:cs="Tahoma"/>
          <w:u w:val="single"/>
          <w:lang w:eastAsia="de-DE"/>
        </w:rPr>
        <w:t>DAV-Bergunfallstatistik</w:t>
      </w:r>
      <w:r w:rsidR="001E7C56">
        <w:rPr>
          <w:rFonts w:ascii="Tahoma" w:eastAsia="Times New Roman" w:hAnsi="Tahoma" w:cs="Tahoma"/>
          <w:u w:val="single"/>
          <w:lang w:eastAsia="de-DE"/>
        </w:rPr>
        <w:t xml:space="preserve"> 2018</w:t>
      </w:r>
      <w:r w:rsidRPr="00B412EA">
        <w:rPr>
          <w:rFonts w:ascii="Tahoma" w:eastAsia="Times New Roman" w:hAnsi="Tahoma" w:cs="Tahoma"/>
          <w:u w:val="single"/>
          <w:lang w:eastAsia="de-DE"/>
        </w:rPr>
        <w:t xml:space="preserve"> </w:t>
      </w:r>
      <w:r w:rsidR="001E7C56">
        <w:rPr>
          <w:rFonts w:ascii="Tahoma" w:eastAsia="Times New Roman" w:hAnsi="Tahoma" w:cs="Tahoma"/>
          <w:u w:val="single"/>
          <w:lang w:eastAsia="de-DE"/>
        </w:rPr>
        <w:br/>
      </w:r>
      <w:r w:rsidR="001E7C56">
        <w:rPr>
          <w:rFonts w:ascii="Tahoma" w:hAnsi="Tahoma" w:cs="Tahoma"/>
          <w:b/>
          <w:sz w:val="28"/>
          <w:szCs w:val="28"/>
        </w:rPr>
        <w:t>Bergsportrisiko historisch</w:t>
      </w:r>
      <w:r w:rsidRPr="00B412EA">
        <w:rPr>
          <w:rFonts w:ascii="Tahoma" w:hAnsi="Tahoma" w:cs="Tahoma"/>
          <w:b/>
          <w:sz w:val="28"/>
          <w:szCs w:val="28"/>
        </w:rPr>
        <w:t xml:space="preserve"> niedrig – </w:t>
      </w:r>
      <w:r w:rsidR="001E7C56">
        <w:rPr>
          <w:rFonts w:ascii="Tahoma" w:hAnsi="Tahoma" w:cs="Tahoma"/>
          <w:b/>
          <w:sz w:val="28"/>
          <w:szCs w:val="28"/>
        </w:rPr>
        <w:t>sogar Blockierungen gehen zurück</w:t>
      </w:r>
      <w:r w:rsidRPr="00B412EA">
        <w:rPr>
          <w:rFonts w:ascii="Tahoma" w:hAnsi="Tahoma" w:cs="Tahoma"/>
          <w:b/>
          <w:sz w:val="28"/>
          <w:szCs w:val="28"/>
        </w:rPr>
        <w:t xml:space="preserve"> </w:t>
      </w:r>
    </w:p>
    <w:p w:rsidR="00125464" w:rsidRDefault="001E7C56" w:rsidP="00B412EA">
      <w:pPr>
        <w:suppressLineNumbers/>
        <w:spacing w:line="276" w:lineRule="auto"/>
        <w:ind w:right="486"/>
        <w:rPr>
          <w:rFonts w:ascii="Tahoma" w:hAnsi="Tahoma" w:cs="Tahoma"/>
        </w:rPr>
      </w:pPr>
      <w:r>
        <w:rPr>
          <w:rFonts w:ascii="Tahoma" w:hAnsi="Tahoma" w:cs="Tahoma"/>
        </w:rPr>
        <w:t xml:space="preserve">Bergsportunfall-Meldungen sind in den Medien </w:t>
      </w:r>
      <w:r w:rsidR="00E17110">
        <w:rPr>
          <w:rFonts w:ascii="Tahoma" w:hAnsi="Tahoma" w:cs="Tahoma"/>
        </w:rPr>
        <w:t>sehr</w:t>
      </w:r>
      <w:r>
        <w:rPr>
          <w:rFonts w:ascii="Tahoma" w:hAnsi="Tahoma" w:cs="Tahoma"/>
        </w:rPr>
        <w:t xml:space="preserve"> präsent, insbesondere jetzt in der Ferienzeit. Bei vielen Menschen entsteht so der Eindruck</w:t>
      </w:r>
      <w:r w:rsidR="00E17110">
        <w:rPr>
          <w:rFonts w:ascii="Tahoma" w:hAnsi="Tahoma" w:cs="Tahoma"/>
        </w:rPr>
        <w:t xml:space="preserve"> </w:t>
      </w:r>
      <w:r w:rsidR="00950FB3">
        <w:rPr>
          <w:rFonts w:ascii="Tahoma" w:hAnsi="Tahoma" w:cs="Tahoma"/>
        </w:rPr>
        <w:t xml:space="preserve">von großen und immer weiter wachsenden Gefahren beim </w:t>
      </w:r>
      <w:r w:rsidR="00E17110">
        <w:rPr>
          <w:rFonts w:ascii="Tahoma" w:hAnsi="Tahoma" w:cs="Tahoma"/>
        </w:rPr>
        <w:t>Bergsport</w:t>
      </w:r>
      <w:r w:rsidR="00950FB3">
        <w:rPr>
          <w:rFonts w:ascii="Tahoma" w:hAnsi="Tahoma" w:cs="Tahoma"/>
        </w:rPr>
        <w:t>.</w:t>
      </w:r>
      <w:r w:rsidR="00E17110">
        <w:rPr>
          <w:rFonts w:ascii="Tahoma" w:hAnsi="Tahoma" w:cs="Tahoma"/>
        </w:rPr>
        <w:t xml:space="preserve"> </w:t>
      </w:r>
      <w:r w:rsidR="00950FB3">
        <w:rPr>
          <w:rFonts w:ascii="Tahoma" w:hAnsi="Tahoma" w:cs="Tahoma"/>
        </w:rPr>
        <w:t xml:space="preserve">Die Zahlen aus der DAV-Bergunfallstatistik für das Jahr 2018 zeichnen </w:t>
      </w:r>
      <w:r w:rsidR="00125464">
        <w:rPr>
          <w:rFonts w:ascii="Tahoma" w:hAnsi="Tahoma" w:cs="Tahoma"/>
        </w:rPr>
        <w:t xml:space="preserve">allerdings </w:t>
      </w:r>
      <w:r w:rsidR="00950FB3">
        <w:rPr>
          <w:rFonts w:ascii="Tahoma" w:hAnsi="Tahoma" w:cs="Tahoma"/>
        </w:rPr>
        <w:t xml:space="preserve">ein </w:t>
      </w:r>
      <w:r w:rsidR="00125464">
        <w:rPr>
          <w:rFonts w:ascii="Tahoma" w:hAnsi="Tahoma" w:cs="Tahoma"/>
        </w:rPr>
        <w:t xml:space="preserve">ganz </w:t>
      </w:r>
      <w:r w:rsidR="00950FB3">
        <w:rPr>
          <w:rFonts w:ascii="Tahoma" w:hAnsi="Tahoma" w:cs="Tahoma"/>
        </w:rPr>
        <w:t xml:space="preserve">anderes Bild: Bezogen auf die Mitgliederzahlen hat es noch nie seit Beginn der </w:t>
      </w:r>
      <w:r w:rsidR="00125464">
        <w:rPr>
          <w:rFonts w:ascii="Tahoma" w:hAnsi="Tahoma" w:cs="Tahoma"/>
        </w:rPr>
        <w:t>Aufzeichnungen</w:t>
      </w:r>
      <w:r w:rsidR="00950FB3">
        <w:rPr>
          <w:rFonts w:ascii="Tahoma" w:hAnsi="Tahoma" w:cs="Tahoma"/>
        </w:rPr>
        <w:t xml:space="preserve"> 1952 so wenige Todesfälle gegeben. </w:t>
      </w:r>
      <w:r w:rsidR="00EA11B7">
        <w:rPr>
          <w:rFonts w:ascii="Tahoma" w:hAnsi="Tahoma" w:cs="Tahoma"/>
        </w:rPr>
        <w:t>Die größte Überraschung findet man allerdings bei den Blockierungen: Selbst dort gehen die Zahlen deutlich zurück.</w:t>
      </w:r>
    </w:p>
    <w:p w:rsidR="00B412EA" w:rsidRPr="009855F6" w:rsidRDefault="00B412EA" w:rsidP="00B412EA">
      <w:pPr>
        <w:spacing w:line="276" w:lineRule="auto"/>
        <w:rPr>
          <w:rFonts w:ascii="Tahoma" w:hAnsi="Tahoma" w:cs="Tahoma"/>
          <w:b/>
        </w:rPr>
      </w:pPr>
      <w:r w:rsidRPr="006923B4">
        <w:rPr>
          <w:rFonts w:ascii="Tahoma" w:hAnsi="Tahoma" w:cs="Tahoma"/>
          <w:b/>
        </w:rPr>
        <w:t>Quote für tödliche Unfälle auf Tiefststand</w:t>
      </w:r>
    </w:p>
    <w:p w:rsidR="00F138AF" w:rsidRDefault="00B412EA" w:rsidP="006A5711">
      <w:pPr>
        <w:suppressLineNumbers/>
        <w:spacing w:line="276" w:lineRule="auto"/>
        <w:ind w:right="486"/>
        <w:rPr>
          <w:rFonts w:ascii="Tahoma" w:hAnsi="Tahoma" w:cs="Tahoma"/>
        </w:rPr>
      </w:pPr>
      <w:r w:rsidRPr="009855F6">
        <w:rPr>
          <w:rFonts w:ascii="Tahoma" w:hAnsi="Tahoma" w:cs="Tahoma"/>
        </w:rPr>
        <w:t xml:space="preserve">Im Berichtszeitraum </w:t>
      </w:r>
      <w:r w:rsidR="00125464">
        <w:rPr>
          <w:rFonts w:ascii="Tahoma" w:hAnsi="Tahoma" w:cs="Tahoma"/>
        </w:rPr>
        <w:t xml:space="preserve">sind </w:t>
      </w:r>
      <w:r w:rsidRPr="009855F6">
        <w:rPr>
          <w:rFonts w:ascii="Tahoma" w:hAnsi="Tahoma" w:cs="Tahoma"/>
        </w:rPr>
        <w:t xml:space="preserve">insgesamt </w:t>
      </w:r>
      <w:r w:rsidR="00125464">
        <w:rPr>
          <w:rFonts w:ascii="Tahoma" w:hAnsi="Tahoma" w:cs="Tahoma"/>
        </w:rPr>
        <w:t xml:space="preserve">1178 Alpenvereinsmitglieder von Unfällen und Notfällen betroffen gewesen. </w:t>
      </w:r>
      <w:r w:rsidR="005E51D5">
        <w:rPr>
          <w:rFonts w:ascii="Tahoma" w:hAnsi="Tahoma" w:cs="Tahoma"/>
        </w:rPr>
        <w:t>Ein Jahr</w:t>
      </w:r>
      <w:r w:rsidR="008D72FC">
        <w:rPr>
          <w:rFonts w:ascii="Tahoma" w:hAnsi="Tahoma" w:cs="Tahoma"/>
        </w:rPr>
        <w:t xml:space="preserve"> zuvor waren es noch</w:t>
      </w:r>
      <w:r w:rsidR="005E51D5">
        <w:rPr>
          <w:rFonts w:ascii="Tahoma" w:hAnsi="Tahoma" w:cs="Tahoma"/>
        </w:rPr>
        <w:t xml:space="preserve"> 1245 </w:t>
      </w:r>
      <w:r w:rsidR="008D72FC">
        <w:rPr>
          <w:rFonts w:ascii="Tahoma" w:hAnsi="Tahoma" w:cs="Tahoma"/>
        </w:rPr>
        <w:t>Betroffene –</w:t>
      </w:r>
      <w:r w:rsidR="00316289">
        <w:rPr>
          <w:rFonts w:ascii="Tahoma" w:hAnsi="Tahoma" w:cs="Tahoma"/>
        </w:rPr>
        <w:t xml:space="preserve"> </w:t>
      </w:r>
      <w:r w:rsidR="008D72FC">
        <w:rPr>
          <w:rFonts w:ascii="Tahoma" w:hAnsi="Tahoma" w:cs="Tahoma"/>
        </w:rPr>
        <w:t xml:space="preserve">also </w:t>
      </w:r>
      <w:r w:rsidR="00316289">
        <w:rPr>
          <w:rFonts w:ascii="Tahoma" w:hAnsi="Tahoma" w:cs="Tahoma"/>
        </w:rPr>
        <w:t>67 mehr</w:t>
      </w:r>
      <w:r w:rsidR="005E51D5">
        <w:rPr>
          <w:rFonts w:ascii="Tahoma" w:hAnsi="Tahoma" w:cs="Tahoma"/>
        </w:rPr>
        <w:t xml:space="preserve">. </w:t>
      </w:r>
      <w:r w:rsidR="00316289">
        <w:rPr>
          <w:rFonts w:ascii="Tahoma" w:hAnsi="Tahoma" w:cs="Tahoma"/>
        </w:rPr>
        <w:t xml:space="preserve">Bei den tödlich Verunfallten ist der Rückgang noch viel deutlicher ausgeprägt. Kamen im Jahr 2017 </w:t>
      </w:r>
      <w:r w:rsidR="008D72FC">
        <w:rPr>
          <w:rFonts w:ascii="Tahoma" w:hAnsi="Tahoma" w:cs="Tahoma"/>
        </w:rPr>
        <w:t xml:space="preserve">insgesamt </w:t>
      </w:r>
      <w:r w:rsidR="00316289">
        <w:rPr>
          <w:rFonts w:ascii="Tahoma" w:hAnsi="Tahoma" w:cs="Tahoma"/>
        </w:rPr>
        <w:t>41 Alpenvereinsmitglieder beim Bergsport ums Leben, so waren es im vergangenen Jahr 31 Personen.</w:t>
      </w:r>
      <w:r w:rsidR="004C76A3">
        <w:rPr>
          <w:rFonts w:ascii="Tahoma" w:hAnsi="Tahoma" w:cs="Tahoma"/>
        </w:rPr>
        <w:t xml:space="preserve"> Weniger Tote – nämlich 30 – gab es in der 67-jährigen Geschichte der DAV-Bergunfallstatistik nur 2016. Allerdings</w:t>
      </w:r>
      <w:r w:rsidR="00F138AF">
        <w:rPr>
          <w:rFonts w:ascii="Tahoma" w:hAnsi="Tahoma" w:cs="Tahoma"/>
        </w:rPr>
        <w:t xml:space="preserve"> hatte der DAV zu der Zeit nicht knapp 1,3 Mio. Mitglieder wie zur Zeit, sond</w:t>
      </w:r>
      <w:bookmarkStart w:id="0" w:name="_GoBack"/>
      <w:bookmarkEnd w:id="0"/>
      <w:r w:rsidR="00F138AF">
        <w:rPr>
          <w:rFonts w:ascii="Tahoma" w:hAnsi="Tahoma" w:cs="Tahoma"/>
        </w:rPr>
        <w:t xml:space="preserve">ern rund 170.000 weniger. Insofern liegt die Quote der tödlich Verunfallten für das Jahr 2018 auf einem historischen Tiefststand.  </w:t>
      </w:r>
    </w:p>
    <w:p w:rsidR="00B412EA" w:rsidRPr="00226D09" w:rsidRDefault="00F138AF" w:rsidP="00B412EA">
      <w:pPr>
        <w:suppressLineNumbers/>
        <w:spacing w:line="276" w:lineRule="auto"/>
        <w:ind w:right="48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Sogar Blockierungen gehen zurück</w:t>
      </w:r>
      <w:r w:rsidR="001D4A4F">
        <w:rPr>
          <w:rFonts w:ascii="Tahoma" w:hAnsi="Tahoma" w:cs="Tahoma"/>
          <w:b/>
        </w:rPr>
        <w:t xml:space="preserve"> – warum?</w:t>
      </w:r>
    </w:p>
    <w:p w:rsidR="001D4A4F" w:rsidRPr="00C07A65" w:rsidRDefault="001D4A4F" w:rsidP="00C07A65">
      <w:pPr>
        <w:suppressLineNumbers/>
        <w:spacing w:line="276" w:lineRule="auto"/>
        <w:ind w:right="486"/>
        <w:rPr>
          <w:rFonts w:ascii="Tahoma" w:hAnsi="Tahoma" w:cs="Tahoma"/>
        </w:rPr>
      </w:pPr>
      <w:r>
        <w:rPr>
          <w:rFonts w:ascii="Tahoma" w:hAnsi="Tahoma" w:cs="Tahoma"/>
        </w:rPr>
        <w:t>Die Rückgänge der Unfälle mit Verletzungsfolgen und mit Todesfolge entsprechen einem langjährigen Trend</w:t>
      </w:r>
      <w:r w:rsidR="008D72FC">
        <w:rPr>
          <w:rFonts w:ascii="Tahoma" w:hAnsi="Tahoma" w:cs="Tahoma"/>
        </w:rPr>
        <w:t xml:space="preserve"> und sind deshalb wenig überraschend</w:t>
      </w:r>
      <w:r>
        <w:rPr>
          <w:rFonts w:ascii="Tahoma" w:hAnsi="Tahoma" w:cs="Tahoma"/>
        </w:rPr>
        <w:t xml:space="preserve">. </w:t>
      </w:r>
      <w:r w:rsidR="008D72FC">
        <w:rPr>
          <w:rFonts w:ascii="Tahoma" w:hAnsi="Tahoma" w:cs="Tahoma"/>
        </w:rPr>
        <w:t xml:space="preserve">Eine echte Überraschung </w:t>
      </w:r>
      <w:r w:rsidR="0036689B">
        <w:rPr>
          <w:rFonts w:ascii="Tahoma" w:hAnsi="Tahoma" w:cs="Tahoma"/>
        </w:rPr>
        <w:t xml:space="preserve">ist hingegen der Rückgang der </w:t>
      </w:r>
      <w:r>
        <w:rPr>
          <w:rFonts w:ascii="Tahoma" w:hAnsi="Tahoma" w:cs="Tahoma"/>
        </w:rPr>
        <w:t xml:space="preserve">Blockierungen – also </w:t>
      </w:r>
      <w:r w:rsidR="0036689B">
        <w:rPr>
          <w:rFonts w:ascii="Tahoma" w:hAnsi="Tahoma" w:cs="Tahoma"/>
        </w:rPr>
        <w:t>jener</w:t>
      </w:r>
      <w:r>
        <w:rPr>
          <w:rFonts w:ascii="Tahoma" w:hAnsi="Tahoma" w:cs="Tahoma"/>
        </w:rPr>
        <w:t xml:space="preserve"> Notfälle, bei denen die Betroffenen zwar unverletzt sind, aber </w:t>
      </w:r>
      <w:r w:rsidR="0036689B">
        <w:rPr>
          <w:rFonts w:ascii="Tahoma" w:hAnsi="Tahoma" w:cs="Tahoma"/>
        </w:rPr>
        <w:t>nicht mehr vor und zurück kommen und gerettet werden müssen. In den letzten Jahren kannte die Kurve der Blockierungen nur eine Richtung – nach oben. "Zum ersten Mal</w:t>
      </w:r>
      <w:r w:rsidR="008D72FC">
        <w:rPr>
          <w:rFonts w:ascii="Tahoma" w:hAnsi="Tahoma" w:cs="Tahoma"/>
        </w:rPr>
        <w:t xml:space="preserve">, seitdem wir diesen Notfall-Typ in unserer Statistik erfassen, gehen die Blockierungen </w:t>
      </w:r>
      <w:r w:rsidR="0036689B">
        <w:rPr>
          <w:rFonts w:ascii="Tahoma" w:hAnsi="Tahoma" w:cs="Tahoma"/>
        </w:rPr>
        <w:t xml:space="preserve">jetzt zurück, und </w:t>
      </w:r>
      <w:r w:rsidR="008D72FC">
        <w:rPr>
          <w:rFonts w:ascii="Tahoma" w:hAnsi="Tahoma" w:cs="Tahoma"/>
        </w:rPr>
        <w:t xml:space="preserve">das </w:t>
      </w:r>
      <w:r w:rsidR="0036689B">
        <w:rPr>
          <w:rFonts w:ascii="Tahoma" w:hAnsi="Tahoma" w:cs="Tahoma"/>
        </w:rPr>
        <w:t>auch noch deutlich", zeigt sich auch DAV-Sicherheitsforscher Christo</w:t>
      </w:r>
      <w:r w:rsidR="008D72FC">
        <w:rPr>
          <w:rFonts w:ascii="Tahoma" w:hAnsi="Tahoma" w:cs="Tahoma"/>
        </w:rPr>
        <w:t>ph Hummel überrascht. "Von einer Trend</w:t>
      </w:r>
      <w:r w:rsidR="0036689B">
        <w:rPr>
          <w:rFonts w:ascii="Tahoma" w:hAnsi="Tahoma" w:cs="Tahoma"/>
        </w:rPr>
        <w:t xml:space="preserve">wende würde ich nach einem Jahr aber noch nicht sprechen." Bei den Erklärungen ist sich der Experte auch entsprechend </w:t>
      </w:r>
      <w:r w:rsidR="00455E31">
        <w:rPr>
          <w:rFonts w:ascii="Tahoma" w:hAnsi="Tahoma" w:cs="Tahoma"/>
        </w:rPr>
        <w:t>vorsichtig</w:t>
      </w:r>
      <w:r w:rsidR="008D72FC">
        <w:rPr>
          <w:rFonts w:ascii="Tahoma" w:hAnsi="Tahoma" w:cs="Tahoma"/>
        </w:rPr>
        <w:t>: "Die Bergwachten verzeichnen weiterhin zunehmende Blockierungen. Dort ist allerdings</w:t>
      </w:r>
      <w:r w:rsidR="00455E31">
        <w:rPr>
          <w:rFonts w:ascii="Tahoma" w:hAnsi="Tahoma" w:cs="Tahoma"/>
        </w:rPr>
        <w:t xml:space="preserve"> das gesamte Notfallgeschehen ab</w:t>
      </w:r>
      <w:r w:rsidR="008D72FC">
        <w:rPr>
          <w:rFonts w:ascii="Tahoma" w:hAnsi="Tahoma" w:cs="Tahoma"/>
        </w:rPr>
        <w:t>gebildet." Im Unterschied dazu schaue die DAV-Bergunfallstatistik nur auf die DAV-Mitglieder. "Möglicherweise beginnen unsere Appelle zumindest bei den Alpenvereinsmitgliedern langsam zu fruchten. Seit Jahren empfehlen wir den Bergsportlerinnen und Bergsportlern, sich bei der Tourenplanung richtig einzuschätzen."</w:t>
      </w:r>
    </w:p>
    <w:p w:rsidR="00B27459" w:rsidRPr="006923B4" w:rsidRDefault="00B27459" w:rsidP="00B27459">
      <w:pPr>
        <w:rPr>
          <w:rFonts w:ascii="Tahoma" w:hAnsi="Tahoma" w:cs="Tahoma"/>
          <w:b/>
        </w:rPr>
      </w:pPr>
      <w:r w:rsidRPr="006923B4">
        <w:rPr>
          <w:rFonts w:ascii="Tahoma" w:hAnsi="Tahoma" w:cs="Tahoma"/>
          <w:b/>
        </w:rPr>
        <w:lastRenderedPageBreak/>
        <w:t>Die Bergunfallstatistik des Deutschen Alpenvereins</w:t>
      </w:r>
    </w:p>
    <w:p w:rsidR="00B16314" w:rsidRPr="00253D55" w:rsidRDefault="00B27459" w:rsidP="00253D55">
      <w:pPr>
        <w:suppressLineNumbers/>
        <w:spacing w:line="276" w:lineRule="auto"/>
        <w:ind w:right="486"/>
        <w:rPr>
          <w:rFonts w:ascii="Tahoma" w:hAnsi="Tahoma" w:cs="Tahoma"/>
        </w:rPr>
      </w:pPr>
      <w:r>
        <w:rPr>
          <w:rFonts w:ascii="Tahoma" w:hAnsi="Tahoma" w:cs="Tahoma"/>
        </w:rPr>
        <w:t xml:space="preserve">Der Deutsche Alpenverein veröffentlicht seit </w:t>
      </w:r>
      <w:r w:rsidR="00253D55">
        <w:rPr>
          <w:rFonts w:ascii="Tahoma" w:hAnsi="Tahoma" w:cs="Tahoma"/>
        </w:rPr>
        <w:t xml:space="preserve">1952 </w:t>
      </w:r>
      <w:r>
        <w:rPr>
          <w:rFonts w:ascii="Tahoma" w:hAnsi="Tahoma" w:cs="Tahoma"/>
        </w:rPr>
        <w:t xml:space="preserve">eine Bergunfallstatistik. </w:t>
      </w:r>
      <w:r w:rsidR="00253D55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er </w:t>
      </w:r>
      <w:r w:rsidRPr="006923B4">
        <w:rPr>
          <w:rFonts w:ascii="Tahoma" w:hAnsi="Tahoma" w:cs="Tahoma"/>
        </w:rPr>
        <w:t xml:space="preserve">aktuelle Berichtszeitraum </w:t>
      </w:r>
      <w:r w:rsidR="00253D55">
        <w:rPr>
          <w:rFonts w:ascii="Tahoma" w:hAnsi="Tahoma" w:cs="Tahoma"/>
        </w:rPr>
        <w:t>reicht vom 1. November 2017</w:t>
      </w:r>
      <w:r>
        <w:rPr>
          <w:rFonts w:ascii="Tahoma" w:hAnsi="Tahoma" w:cs="Tahoma"/>
        </w:rPr>
        <w:t xml:space="preserve"> bis zum 31. Oktober</w:t>
      </w:r>
      <w:r w:rsidR="00253D55">
        <w:rPr>
          <w:rFonts w:ascii="Tahoma" w:hAnsi="Tahoma" w:cs="Tahoma"/>
        </w:rPr>
        <w:t xml:space="preserve"> 2018 und umfasst je</w:t>
      </w:r>
      <w:r w:rsidRPr="006923B4">
        <w:rPr>
          <w:rFonts w:ascii="Tahoma" w:hAnsi="Tahoma" w:cs="Tahoma"/>
        </w:rPr>
        <w:t xml:space="preserve"> </w:t>
      </w:r>
      <w:r w:rsidR="00253D55">
        <w:rPr>
          <w:rFonts w:ascii="Tahoma" w:hAnsi="Tahoma" w:cs="Tahoma"/>
        </w:rPr>
        <w:t xml:space="preserve">eine </w:t>
      </w:r>
      <w:r w:rsidRPr="006923B4">
        <w:rPr>
          <w:rFonts w:ascii="Tahoma" w:hAnsi="Tahoma" w:cs="Tahoma"/>
        </w:rPr>
        <w:t>komplette Winter</w:t>
      </w:r>
      <w:r w:rsidR="00253D55">
        <w:rPr>
          <w:rFonts w:ascii="Tahoma" w:hAnsi="Tahoma" w:cs="Tahoma"/>
        </w:rPr>
        <w:t>- und Sommer</w:t>
      </w:r>
      <w:r w:rsidRPr="006923B4">
        <w:rPr>
          <w:rFonts w:ascii="Tahoma" w:hAnsi="Tahoma" w:cs="Tahoma"/>
        </w:rPr>
        <w:t xml:space="preserve">saison in den Bergen. </w:t>
      </w:r>
      <w:r>
        <w:rPr>
          <w:rFonts w:ascii="Tahoma" w:hAnsi="Tahoma" w:cs="Tahoma"/>
        </w:rPr>
        <w:t xml:space="preserve">Datengrundlage sind ausschließlich </w:t>
      </w:r>
      <w:r w:rsidRPr="006923B4">
        <w:rPr>
          <w:rFonts w:ascii="Tahoma" w:hAnsi="Tahoma" w:cs="Tahoma"/>
        </w:rPr>
        <w:t>Unfälle von DAV-Mitgliedern</w:t>
      </w:r>
      <w:r w:rsidR="00253D55">
        <w:rPr>
          <w:rFonts w:ascii="Tahoma" w:hAnsi="Tahoma" w:cs="Tahoma"/>
        </w:rPr>
        <w:t>.</w:t>
      </w:r>
    </w:p>
    <w:sectPr w:rsidR="00B16314" w:rsidRPr="00253D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0DEC"/>
    <w:multiLevelType w:val="hybridMultilevel"/>
    <w:tmpl w:val="393AD0A4"/>
    <w:lvl w:ilvl="0" w:tplc="2A824C4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1D28"/>
    <w:multiLevelType w:val="hybridMultilevel"/>
    <w:tmpl w:val="7D86E542"/>
    <w:lvl w:ilvl="0" w:tplc="CB284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2F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024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CA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0F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83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4C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58C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27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06484D"/>
    <w:multiLevelType w:val="hybridMultilevel"/>
    <w:tmpl w:val="88025C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E0EB3"/>
    <w:multiLevelType w:val="hybridMultilevel"/>
    <w:tmpl w:val="53AA22F2"/>
    <w:lvl w:ilvl="0" w:tplc="2A824C4C">
      <w:start w:val="1"/>
      <w:numFmt w:val="bullet"/>
      <w:lvlText w:val=""/>
      <w:lvlJc w:val="left"/>
      <w:pPr>
        <w:ind w:left="7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19627178"/>
    <w:multiLevelType w:val="hybridMultilevel"/>
    <w:tmpl w:val="DEA6090C"/>
    <w:lvl w:ilvl="0" w:tplc="3BE89F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5C0B"/>
    <w:multiLevelType w:val="hybridMultilevel"/>
    <w:tmpl w:val="BE88EA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47246"/>
    <w:multiLevelType w:val="hybridMultilevel"/>
    <w:tmpl w:val="512C54C0"/>
    <w:lvl w:ilvl="0" w:tplc="2A824C4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169C8"/>
    <w:multiLevelType w:val="hybridMultilevel"/>
    <w:tmpl w:val="D318BB20"/>
    <w:lvl w:ilvl="0" w:tplc="4B94F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487C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82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8F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274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2A77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A1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C8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A00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7649AA"/>
    <w:multiLevelType w:val="hybridMultilevel"/>
    <w:tmpl w:val="959AA8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F21DB"/>
    <w:multiLevelType w:val="hybridMultilevel"/>
    <w:tmpl w:val="1B30576A"/>
    <w:lvl w:ilvl="0" w:tplc="00AAD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0D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41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A9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2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6E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C8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AB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22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86"/>
    <w:rsid w:val="00062DBD"/>
    <w:rsid w:val="000673B7"/>
    <w:rsid w:val="00067623"/>
    <w:rsid w:val="000C7B6F"/>
    <w:rsid w:val="000F50D6"/>
    <w:rsid w:val="00101F41"/>
    <w:rsid w:val="00125464"/>
    <w:rsid w:val="001356EF"/>
    <w:rsid w:val="001850AA"/>
    <w:rsid w:val="001A20CA"/>
    <w:rsid w:val="001A7E07"/>
    <w:rsid w:val="001C5C38"/>
    <w:rsid w:val="001D4A4F"/>
    <w:rsid w:val="001E7C56"/>
    <w:rsid w:val="00226C81"/>
    <w:rsid w:val="00226D09"/>
    <w:rsid w:val="00247F62"/>
    <w:rsid w:val="00253D55"/>
    <w:rsid w:val="0027445C"/>
    <w:rsid w:val="00274930"/>
    <w:rsid w:val="002E48B6"/>
    <w:rsid w:val="002F2CBC"/>
    <w:rsid w:val="0030509D"/>
    <w:rsid w:val="0031039E"/>
    <w:rsid w:val="00313EB2"/>
    <w:rsid w:val="00316289"/>
    <w:rsid w:val="00340C31"/>
    <w:rsid w:val="0036689B"/>
    <w:rsid w:val="00382052"/>
    <w:rsid w:val="003A1C3E"/>
    <w:rsid w:val="003C374E"/>
    <w:rsid w:val="00422259"/>
    <w:rsid w:val="0045242F"/>
    <w:rsid w:val="004554C1"/>
    <w:rsid w:val="00455E31"/>
    <w:rsid w:val="00486772"/>
    <w:rsid w:val="00487A1A"/>
    <w:rsid w:val="004C76A3"/>
    <w:rsid w:val="004D3AEA"/>
    <w:rsid w:val="004F5D65"/>
    <w:rsid w:val="00527867"/>
    <w:rsid w:val="0056157C"/>
    <w:rsid w:val="00570517"/>
    <w:rsid w:val="005A6B90"/>
    <w:rsid w:val="005B2A72"/>
    <w:rsid w:val="005C3982"/>
    <w:rsid w:val="005E29F3"/>
    <w:rsid w:val="005E51D5"/>
    <w:rsid w:val="00604DCD"/>
    <w:rsid w:val="00642DD3"/>
    <w:rsid w:val="00645E8A"/>
    <w:rsid w:val="00650757"/>
    <w:rsid w:val="00651725"/>
    <w:rsid w:val="00653FDB"/>
    <w:rsid w:val="006923B4"/>
    <w:rsid w:val="006A5711"/>
    <w:rsid w:val="006C14B5"/>
    <w:rsid w:val="007067F3"/>
    <w:rsid w:val="00753E5A"/>
    <w:rsid w:val="00754EC8"/>
    <w:rsid w:val="00771D50"/>
    <w:rsid w:val="00792F01"/>
    <w:rsid w:val="007C0357"/>
    <w:rsid w:val="00830712"/>
    <w:rsid w:val="008755A1"/>
    <w:rsid w:val="0087653F"/>
    <w:rsid w:val="008B213F"/>
    <w:rsid w:val="008C7777"/>
    <w:rsid w:val="008D72FC"/>
    <w:rsid w:val="008D7544"/>
    <w:rsid w:val="008E6B27"/>
    <w:rsid w:val="00914815"/>
    <w:rsid w:val="0091762E"/>
    <w:rsid w:val="00923888"/>
    <w:rsid w:val="00950FB3"/>
    <w:rsid w:val="009855F6"/>
    <w:rsid w:val="009A146E"/>
    <w:rsid w:val="009B4E18"/>
    <w:rsid w:val="009D5AAE"/>
    <w:rsid w:val="00A236F1"/>
    <w:rsid w:val="00A856BA"/>
    <w:rsid w:val="00A95B80"/>
    <w:rsid w:val="00B105ED"/>
    <w:rsid w:val="00B16314"/>
    <w:rsid w:val="00B27459"/>
    <w:rsid w:val="00B412EA"/>
    <w:rsid w:val="00BE09D9"/>
    <w:rsid w:val="00BF6B4E"/>
    <w:rsid w:val="00C07A65"/>
    <w:rsid w:val="00CD1AE8"/>
    <w:rsid w:val="00CF34BD"/>
    <w:rsid w:val="00D2397B"/>
    <w:rsid w:val="00D4113B"/>
    <w:rsid w:val="00DA00D9"/>
    <w:rsid w:val="00DB2E6F"/>
    <w:rsid w:val="00DD45EE"/>
    <w:rsid w:val="00E17110"/>
    <w:rsid w:val="00E47E58"/>
    <w:rsid w:val="00EA11B7"/>
    <w:rsid w:val="00EA6AB3"/>
    <w:rsid w:val="00EF4983"/>
    <w:rsid w:val="00F138AF"/>
    <w:rsid w:val="00F40C71"/>
    <w:rsid w:val="00F43886"/>
    <w:rsid w:val="00F64D75"/>
    <w:rsid w:val="00FD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B9BAA-EBA9-4C54-893F-DC255473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7A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27459"/>
    <w:pPr>
      <w:keepNext/>
      <w:suppressLineNumbers/>
      <w:spacing w:after="0" w:line="312" w:lineRule="auto"/>
      <w:outlineLvl w:val="2"/>
    </w:pPr>
    <w:rPr>
      <w:rFonts w:ascii="Arial" w:eastAsia="Times New Roman" w:hAnsi="Arial" w:cs="Times New Roman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388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D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B90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B27459"/>
    <w:rPr>
      <w:rFonts w:ascii="Arial" w:eastAsia="Times New Roman" w:hAnsi="Arial" w:cs="Times New Roman"/>
      <w:szCs w:val="20"/>
      <w:u w:val="single"/>
      <w:lang w:eastAsia="de-DE"/>
    </w:rPr>
  </w:style>
  <w:style w:type="character" w:styleId="Hyperlink">
    <w:name w:val="Hyperlink"/>
    <w:uiPriority w:val="99"/>
    <w:rsid w:val="00B27459"/>
    <w:rPr>
      <w:color w:val="0000FF"/>
      <w:u w:val="single"/>
    </w:rPr>
  </w:style>
  <w:style w:type="paragraph" w:styleId="Kopfzeile">
    <w:name w:val="header"/>
    <w:basedOn w:val="Standard"/>
    <w:link w:val="KopfzeileZchn"/>
    <w:rsid w:val="00B27459"/>
    <w:pPr>
      <w:tabs>
        <w:tab w:val="center" w:pos="4536"/>
        <w:tab w:val="right" w:pos="9072"/>
      </w:tabs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2745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7A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krper3">
    <w:name w:val="Body Text 3"/>
    <w:basedOn w:val="Standard"/>
    <w:link w:val="Textkrper3Zchn"/>
    <w:rsid w:val="00B16314"/>
    <w:pPr>
      <w:overflowPunct w:val="0"/>
      <w:autoSpaceDE w:val="0"/>
      <w:autoSpaceDN w:val="0"/>
      <w:adjustRightInd w:val="0"/>
      <w:spacing w:after="0" w:line="400" w:lineRule="atLeast"/>
      <w:textAlignment w:val="baseline"/>
    </w:pPr>
    <w:rPr>
      <w:rFonts w:ascii="Times New Roman" w:eastAsia="Times New Roman" w:hAnsi="Times New Roman" w:cs="Times New Roman"/>
      <w:b/>
      <w:bCs/>
      <w:sz w:val="26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B16314"/>
    <w:rPr>
      <w:rFonts w:ascii="Times New Roman" w:eastAsia="Times New Roman" w:hAnsi="Times New Roman" w:cs="Times New Roman"/>
      <w:b/>
      <w:bCs/>
      <w:sz w:val="26"/>
      <w:szCs w:val="24"/>
      <w:lang w:eastAsia="de-DE"/>
    </w:rPr>
  </w:style>
  <w:style w:type="paragraph" w:styleId="Textkrper2">
    <w:name w:val="Body Text 2"/>
    <w:basedOn w:val="Standard"/>
    <w:link w:val="Textkrper2Zchn"/>
    <w:rsid w:val="00226C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226C8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5493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2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65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900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61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174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9916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771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523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305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85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79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456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Hummel</dc:creator>
  <cp:keywords/>
  <dc:description/>
  <cp:lastModifiedBy>Bucher, Thomas - Deutscher Alpenverein e.V.</cp:lastModifiedBy>
  <cp:revision>10</cp:revision>
  <cp:lastPrinted>2018-09-24T14:56:00Z</cp:lastPrinted>
  <dcterms:created xsi:type="dcterms:W3CDTF">2019-08-14T12:22:00Z</dcterms:created>
  <dcterms:modified xsi:type="dcterms:W3CDTF">2019-08-19T09:27:00Z</dcterms:modified>
</cp:coreProperties>
</file>